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DE" w:rsidRPr="00AB0313" w:rsidRDefault="0051295B" w:rsidP="007041DE">
      <w:pPr>
        <w:keepNext/>
        <w:tabs>
          <w:tab w:val="left" w:pos="2268"/>
        </w:tabs>
        <w:spacing w:after="0" w:line="240" w:lineRule="auto"/>
        <w:ind w:left="708" w:hanging="708"/>
        <w:jc w:val="center"/>
        <w:outlineLvl w:val="4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РИЖСКАЯ ПРОГУЛКА: РИГА-ЮРМАЛА*-ВИЛЬНЮС</w:t>
      </w:r>
    </w:p>
    <w:p w:rsidR="00F47E8A" w:rsidRPr="00AB0313" w:rsidRDefault="00F47E8A" w:rsidP="00AB0313">
      <w:pPr>
        <w:keepNext/>
        <w:tabs>
          <w:tab w:val="left" w:pos="2835"/>
        </w:tabs>
        <w:spacing w:after="0" w:line="240" w:lineRule="auto"/>
        <w:ind w:left="709" w:hanging="709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ru-RU"/>
        </w:rPr>
      </w:pPr>
      <w:bookmarkStart w:id="0" w:name="_GoBack"/>
      <w:bookmarkEnd w:id="0"/>
    </w:p>
    <w:p w:rsidR="007041DE" w:rsidRPr="00AB0313" w:rsidRDefault="007041DE" w:rsidP="00AB0313">
      <w:pPr>
        <w:keepNext/>
        <w:spacing w:after="0" w:line="240" w:lineRule="auto"/>
        <w:ind w:left="709" w:hanging="709"/>
        <w:jc w:val="center"/>
        <w:outlineLvl w:val="4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AB0313">
        <w:rPr>
          <w:rFonts w:ascii="Arial" w:eastAsia="Times New Roman" w:hAnsi="Arial" w:cs="Arial"/>
          <w:b/>
          <w:sz w:val="18"/>
          <w:szCs w:val="18"/>
          <w:lang w:eastAsia="ru-RU"/>
        </w:rPr>
        <w:t>Даты выезда</w:t>
      </w:r>
      <w:r w:rsidRPr="00AB031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: </w:t>
      </w:r>
      <w:r w:rsidR="0051295B" w:rsidRPr="0051295B">
        <w:rPr>
          <w:rFonts w:ascii="Arial" w:hAnsi="Arial" w:cs="Arial"/>
          <w:b/>
          <w:bCs/>
          <w:color w:val="FF0000"/>
          <w:sz w:val="18"/>
          <w:szCs w:val="18"/>
        </w:rPr>
        <w:t>15.02, 15.03, 12.04, 10.05, 31.05, 28.06, 19.07, 09.08, 30.08, 27.09, 25.10, 22.11, 13.12.2019</w:t>
      </w:r>
    </w:p>
    <w:p w:rsidR="0077555C" w:rsidRPr="00AB0313" w:rsidRDefault="0077555C" w:rsidP="00AB0313">
      <w:pPr>
        <w:keepNext/>
        <w:spacing w:after="0" w:line="240" w:lineRule="auto"/>
        <w:ind w:left="709" w:hanging="709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AB031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Стоимость тура</w:t>
      </w:r>
      <w:r w:rsidR="0096136D" w:rsidRPr="00AB031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на 1 человека</w:t>
      </w:r>
      <w:r w:rsidRPr="00AB031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*:  </w:t>
      </w:r>
      <w:proofErr w:type="spellStart"/>
      <w:r w:rsidRPr="00AB031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экв</w:t>
      </w:r>
      <w:proofErr w:type="spellEnd"/>
      <w:r w:rsidRPr="00AB031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. </w:t>
      </w:r>
      <w:r w:rsid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6</w:t>
      </w:r>
      <w:r w:rsidR="00E56122" w:rsidRPr="00AB031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0 евро</w:t>
      </w:r>
      <w:r w:rsidRPr="00AB031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+ </w:t>
      </w:r>
      <w:r w:rsid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50</w:t>
      </w:r>
      <w:r w:rsidRPr="00AB031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BYN</w:t>
      </w:r>
      <w:r w:rsid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, место в </w:t>
      </w:r>
      <w:r w:rsidR="0051295B">
        <w:rPr>
          <w:rFonts w:ascii="Arial" w:eastAsia="Times New Roman" w:hAnsi="Arial" w:cs="Arial"/>
          <w:b/>
          <w:color w:val="FF0000"/>
          <w:sz w:val="18"/>
          <w:szCs w:val="18"/>
          <w:lang w:val="en-US" w:eastAsia="ru-RU"/>
        </w:rPr>
        <w:t>SNGL</w:t>
      </w:r>
      <w:r w:rsidR="0051295B" w:rsidRP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– </w:t>
      </w:r>
      <w:proofErr w:type="spellStart"/>
      <w:r w:rsidR="0051295B" w:rsidRP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экв</w:t>
      </w:r>
      <w:proofErr w:type="spellEnd"/>
      <w:r w:rsidR="0051295B" w:rsidRP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.</w:t>
      </w:r>
      <w:r w:rsid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75 евро + 50</w:t>
      </w:r>
      <w:r w:rsidR="0051295B" w:rsidRPr="0051295B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51295B">
        <w:rPr>
          <w:rFonts w:ascii="Arial" w:eastAsia="Times New Roman" w:hAnsi="Arial" w:cs="Arial"/>
          <w:b/>
          <w:color w:val="FF0000"/>
          <w:sz w:val="18"/>
          <w:szCs w:val="18"/>
          <w:lang w:val="en-US" w:eastAsia="ru-RU"/>
        </w:rPr>
        <w:t>BYN</w:t>
      </w:r>
      <w:r w:rsidRPr="00AB0313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</w:p>
    <w:p w:rsidR="00E56122" w:rsidRPr="00E56122" w:rsidRDefault="00E56122" w:rsidP="00E561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639"/>
      </w:tblGrid>
      <w:tr w:rsidR="0077555C" w:rsidRPr="0077555C" w:rsidTr="00AB0313">
        <w:tc>
          <w:tcPr>
            <w:tcW w:w="993" w:type="dxa"/>
            <w:shd w:val="clear" w:color="auto" w:fill="auto"/>
          </w:tcPr>
          <w:p w:rsidR="0077555C" w:rsidRPr="0051295B" w:rsidRDefault="0077555C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1295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9639" w:type="dxa"/>
            <w:shd w:val="clear" w:color="auto" w:fill="auto"/>
          </w:tcPr>
          <w:p w:rsidR="0077555C" w:rsidRPr="0051295B" w:rsidRDefault="0051295B" w:rsidP="00E561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1295B">
              <w:rPr>
                <w:rFonts w:ascii="Arial" w:hAnsi="Arial" w:cs="Arial"/>
                <w:sz w:val="18"/>
                <w:szCs w:val="18"/>
              </w:rPr>
              <w:t xml:space="preserve">21:30 выезд из Минска </w:t>
            </w:r>
            <w:proofErr w:type="gramStart"/>
            <w:r w:rsidRPr="0051295B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51295B">
              <w:rPr>
                <w:rFonts w:ascii="Arial" w:hAnsi="Arial" w:cs="Arial"/>
                <w:sz w:val="18"/>
                <w:szCs w:val="18"/>
              </w:rPr>
              <w:t xml:space="preserve"> а/c «Дружная». Транзит по территории Беларуси, Литвы, Латвии</w:t>
            </w:r>
          </w:p>
        </w:tc>
      </w:tr>
      <w:tr w:rsidR="0077555C" w:rsidRPr="0077555C" w:rsidTr="00AB0313">
        <w:tc>
          <w:tcPr>
            <w:tcW w:w="993" w:type="dxa"/>
            <w:shd w:val="clear" w:color="auto" w:fill="auto"/>
          </w:tcPr>
          <w:p w:rsidR="0077555C" w:rsidRPr="0051295B" w:rsidRDefault="0077555C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1295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9639" w:type="dxa"/>
            <w:shd w:val="clear" w:color="auto" w:fill="auto"/>
          </w:tcPr>
          <w:p w:rsidR="0051295B" w:rsidRPr="0051295B" w:rsidRDefault="0051295B" w:rsidP="0051295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Прибытие в Ригу ориентировочно около 07.00. 8:00-9:00* завтрак в LIDO (дополнительная плата 4,95 евро - шведский стол). </w:t>
            </w:r>
            <w:r w:rsidRPr="0051295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9:30-11:30* Пешеходная экскурсия по Старому Городу. </w:t>
            </w:r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Пешеходная экскурсия по Старому Городу. Старая Рига полна древних тайн. Старые улицы и дома- главные хранители истории, они помнят много событий, произошедших в городе за 800 лет. Экскурсия начинается с Ратушной площади, мы узнаем, кто такие Черноголовые, увидим самую узкую улочку в Риге. Придем на место встречи Шерлока Холмса и доктора Ватсона и на улицу, где случилась беда с профессором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Плейшнером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. Гид расскажет историю Домского собора, сосчитаем всех петушков на шпилях Риги. Найдем домик рижского палача, трех братьев, церковь Св.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Екаба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Св.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Иоана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Св.Петра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. От гида услышите историю черного кота и купцов Большой гильдии. В Шведских воротах услышим вздох замурованной девушки, а может встретим ее призрак. Оценим мощь рижских средневековых укреплений. Свободное время в городе и самостоятельное прибытие в отель после 15:00 или</w:t>
            </w:r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br/>
            </w:r>
            <w:r w:rsidRPr="0051295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11:30-13:30** экскурсия в Юрмалу</w:t>
            </w:r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 (доп. плата 5 евро. Минимальное кол-во туристов - 15 человек). Вас ждёт обзорная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автобусно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-пешеходная экскурсия по городу-курорту Юрмала: от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Лиелупе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Дубулты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с самобытной деревянной застройкой (дачная архитектура) и современными зданиями (концертный зал в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Дзинтари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, где проходили популярные фестивали «Новая Волна», «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КиВиН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Comedy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Club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» и многие другие мероприятия и концерты), мы прогуляемся по пешеходной улице города – улице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Йомас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и по берегу Балтийского моря. </w:t>
            </w:r>
            <w:r w:rsidRPr="0051295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Свободное время в Юрмале</w:t>
            </w:r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 (один час с момента окончания экскурсии</w:t>
            </w:r>
            <w:proofErr w:type="gram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).</w:t>
            </w:r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br/>
              <w:t>15:00</w:t>
            </w:r>
            <w:proofErr w:type="gram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заселение в отель. </w:t>
            </w:r>
          </w:p>
          <w:p w:rsidR="0077555C" w:rsidRPr="0051295B" w:rsidRDefault="0051295B" w:rsidP="005129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1295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Свободное время для самостоятельных прогулок.</w:t>
            </w:r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 Наш опытный сопровождающий с удовольствием расскажет Вам где можно посидеть вечером в городе. С наступлением вечера Старая Рига, как изысканная дама, одевается в кружевную вуаль света фонарей, которая накрывает площади, церкви и улочки Старого города. Вечер – это время, когда ритм города замедляется, витрины магазинов загораются разноцветными заманчивыми огнями, многочисленные пабы, кафе и рестораны манят посетителей уютной атмосферой и приятной музыкой... Ну а любителям покупок стоит посетить торговые центры: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Origo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Stockmann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Galerija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Centrs</w:t>
            </w:r>
            <w:proofErr w:type="spellEnd"/>
            <w:r w:rsidRPr="0051295B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. Ночлег в гостинице</w:t>
            </w:r>
          </w:p>
        </w:tc>
      </w:tr>
      <w:tr w:rsidR="0077555C" w:rsidRPr="0077555C" w:rsidTr="00AB0313">
        <w:tc>
          <w:tcPr>
            <w:tcW w:w="993" w:type="dxa"/>
            <w:shd w:val="clear" w:color="auto" w:fill="auto"/>
          </w:tcPr>
          <w:p w:rsidR="0077555C" w:rsidRPr="0051295B" w:rsidRDefault="00BF2066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95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="0077555C" w:rsidRPr="0051295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день</w:t>
            </w:r>
          </w:p>
        </w:tc>
        <w:tc>
          <w:tcPr>
            <w:tcW w:w="9639" w:type="dxa"/>
            <w:shd w:val="clear" w:color="auto" w:fill="auto"/>
          </w:tcPr>
          <w:p w:rsidR="0051295B" w:rsidRPr="0051295B" w:rsidRDefault="0051295B" w:rsidP="005129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 08:00* Освобождение номеров. Переезд в Вильнюс. </w:t>
            </w:r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Посещение торгово-развлекательного центра «</w:t>
            </w:r>
            <w:proofErr w:type="spellStart"/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Акрополис</w:t>
            </w:r>
            <w:proofErr w:type="spellEnd"/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 (Вильнюс) - 3 часа. 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Акрополис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это один из самых крупных торгово-развлекательных центров в Вильнюсе. Здесь находятся около 250 магазинов и сервисных центров, среди известных торговых марок представлены магазины таких брендов как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Massimo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Dutti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Next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Bershka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City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Cop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Copine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Camel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active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Esprit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Guess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Lindex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Mango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Mexx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Pierre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Cardin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Pietro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Filipi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Promod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», «S.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Oliver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Stradivarius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United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Colors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of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Benetton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Zara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». Около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25 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обувных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магазинов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– «Aldo»,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Chesters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», «Crocs»,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Danija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Deichmann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Ecco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», «Este», «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Geox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», «Salamander», «Step Top» 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 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ТРЦ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Акрополисе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созданы все условия не только для </w:t>
            </w:r>
            <w:proofErr w:type="gram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шопинга ,</w:t>
            </w:r>
            <w:proofErr w:type="gram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 и для хорошего и интересного отдыха как для взрослых, так и для детей : Ледовый каток, боулинг, бильярд, кинотеатр (3D, 5D) , казино </w:t>
            </w:r>
            <w:proofErr w:type="spellStart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Olympic</w:t>
            </w:r>
            <w:proofErr w:type="spell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игровые автоматы, детский центр развлечений и др.</w:t>
            </w:r>
          </w:p>
          <w:p w:rsidR="0051295B" w:rsidRPr="0051295B" w:rsidRDefault="0051295B" w:rsidP="005129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ВНИМАНИЕ!!! до апреля-мая магазин </w:t>
            </w:r>
            <w:proofErr w:type="spellStart"/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Maxima</w:t>
            </w:r>
            <w:proofErr w:type="spellEnd"/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закрыт на </w:t>
            </w:r>
            <w:proofErr w:type="gramStart"/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реконструкцию!</w:t>
            </w:r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Прибытие</w:t>
            </w:r>
            <w:proofErr w:type="gramEnd"/>
            <w:r w:rsidRPr="005129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Минск ориентировочно около 22:00*</w:t>
            </w:r>
          </w:p>
          <w:p w:rsidR="0051295B" w:rsidRPr="0051295B" w:rsidRDefault="0051295B" w:rsidP="005129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* </w:t>
            </w:r>
            <w:proofErr w:type="gramStart"/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время  указано</w:t>
            </w:r>
            <w:proofErr w:type="gramEnd"/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ориентировочное и может меняться</w:t>
            </w:r>
          </w:p>
          <w:p w:rsidR="0077555C" w:rsidRPr="0051295B" w:rsidRDefault="0051295B" w:rsidP="005129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9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** в летний период свободное время в Юрмале может быть увеличено</w:t>
            </w:r>
          </w:p>
        </w:tc>
      </w:tr>
    </w:tbl>
    <w:p w:rsidR="0077555C" w:rsidRPr="0051295B" w:rsidRDefault="0077555C" w:rsidP="0077555C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4"/>
          <w:szCs w:val="4"/>
          <w:lang w:eastAsia="ru-RU"/>
        </w:rPr>
      </w:pPr>
    </w:p>
    <w:p w:rsidR="0077555C" w:rsidRPr="0051295B" w:rsidRDefault="0077555C" w:rsidP="0077555C">
      <w:pPr>
        <w:pStyle w:val="ae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6"/>
          <w:szCs w:val="16"/>
          <w:lang w:eastAsia="ru-RU"/>
        </w:rPr>
      </w:pPr>
      <w:r w:rsidRPr="0051295B">
        <w:rPr>
          <w:rFonts w:ascii="Arial" w:eastAsia="Times New Roman" w:hAnsi="Arial" w:cs="Arial"/>
          <w:b/>
          <w:bCs/>
          <w:iCs/>
          <w:color w:val="FF0000"/>
          <w:sz w:val="16"/>
          <w:szCs w:val="16"/>
          <w:lang w:eastAsia="ru-RU"/>
        </w:rPr>
        <w:t xml:space="preserve">*Оплата производится по курсу Национального банка Республики Беларусь на день оплаты + </w:t>
      </w:r>
      <w:r w:rsidR="00E56122" w:rsidRPr="0051295B">
        <w:rPr>
          <w:rFonts w:ascii="Arial" w:eastAsia="Times New Roman" w:hAnsi="Arial" w:cs="Arial"/>
          <w:b/>
          <w:bCs/>
          <w:iCs/>
          <w:color w:val="FF0000"/>
          <w:sz w:val="16"/>
          <w:szCs w:val="16"/>
          <w:lang w:eastAsia="ru-RU"/>
        </w:rPr>
        <w:t>2</w:t>
      </w:r>
      <w:r w:rsidRPr="0051295B">
        <w:rPr>
          <w:rFonts w:ascii="Arial" w:eastAsia="Times New Roman" w:hAnsi="Arial" w:cs="Arial"/>
          <w:b/>
          <w:bCs/>
          <w:iCs/>
          <w:color w:val="FF0000"/>
          <w:sz w:val="16"/>
          <w:szCs w:val="16"/>
          <w:lang w:eastAsia="ru-RU"/>
        </w:rPr>
        <w:t xml:space="preserve"> %</w:t>
      </w:r>
    </w:p>
    <w:p w:rsidR="00AB0313" w:rsidRPr="0051295B" w:rsidRDefault="00AB0313" w:rsidP="0077555C">
      <w:pPr>
        <w:pStyle w:val="ae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4"/>
          <w:szCs w:val="4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512"/>
      </w:tblGrid>
      <w:tr w:rsidR="0077555C" w:rsidRPr="00652336" w:rsidTr="0051295B">
        <w:trPr>
          <w:trHeight w:val="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D3" w:rsidRPr="00AB0313" w:rsidRDefault="0077555C" w:rsidP="00AB03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AB031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ab/>
            </w:r>
            <w:r w:rsidRPr="00AB0313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В стоимость тура входит:</w:t>
            </w:r>
          </w:p>
          <w:p w:rsidR="00E56122" w:rsidRPr="00AB0313" w:rsidRDefault="00F47E8A" w:rsidP="00E5612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B031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проезд автобусом</w:t>
            </w:r>
            <w:r w:rsidR="00E56122" w:rsidRPr="00AB031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  <w:p w:rsidR="0051295B" w:rsidRPr="0051295B" w:rsidRDefault="0051295B" w:rsidP="0051295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проживание в Риге в отеле 3*</w:t>
            </w:r>
          </w:p>
          <w:p w:rsidR="0051295B" w:rsidRPr="0051295B" w:rsidRDefault="0051295B" w:rsidP="0051295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завтрак</w:t>
            </w:r>
          </w:p>
          <w:p w:rsidR="0051295B" w:rsidRPr="0051295B" w:rsidRDefault="0051295B" w:rsidP="0051295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экскурсия по Риге</w:t>
            </w:r>
          </w:p>
          <w:p w:rsidR="00652336" w:rsidRPr="00AB0313" w:rsidRDefault="0051295B" w:rsidP="0051295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сопровождение по маршруту</w:t>
            </w: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5C" w:rsidRPr="00AB0313" w:rsidRDefault="00AB0313" w:rsidP="0077555C">
            <w:pPr>
              <w:spacing w:after="12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                </w:t>
            </w:r>
            <w:r w:rsidR="0077555C" w:rsidRPr="00AB0313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Дополнительно оплачивается:</w:t>
            </w:r>
          </w:p>
          <w:p w:rsidR="0051295B" w:rsidRPr="0051295B" w:rsidRDefault="0051295B" w:rsidP="0051295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медицинская страховка - 2 доллара США. Оплачивается в белорусских рублях по курсу НБРБ на день оплаты. Детям до 18 лет в сопровождении взрослых - бесплатно</w:t>
            </w:r>
          </w:p>
          <w:p w:rsidR="0051295B" w:rsidRPr="0051295B" w:rsidRDefault="0051295B" w:rsidP="0051295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поездка в Юрмалу - 5 евро. Минимальное кол-во туристов в группе - 15 человек;</w:t>
            </w:r>
          </w:p>
          <w:p w:rsidR="0051295B" w:rsidRPr="0051295B" w:rsidRDefault="0051295B" w:rsidP="0051295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если Вы путешествуете один(а) и мы не находим Вам вариант "подселения" доплата за одноместное размещение - 15 евро;</w:t>
            </w:r>
          </w:p>
          <w:p w:rsidR="0051295B" w:rsidRPr="0051295B" w:rsidRDefault="0051295B" w:rsidP="0051295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открытию визы 5 евро;</w:t>
            </w:r>
          </w:p>
          <w:p w:rsidR="0051295B" w:rsidRPr="0051295B" w:rsidRDefault="0051295B" w:rsidP="0051295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консульский сбор - 60 евро (дети до 12 лет - бесплатно, студенты дневных отделений ВУЗов до 24 лет - 35 евро)</w:t>
            </w:r>
          </w:p>
          <w:p w:rsidR="0077555C" w:rsidRPr="00AB0313" w:rsidRDefault="0051295B" w:rsidP="0051295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5129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ЕСТЬ ВОЗМОЖНОСТЬ ОТКРЫТИЯ МНОГОКРАТНОЙ ВИЗЫ</w:t>
            </w:r>
          </w:p>
        </w:tc>
      </w:tr>
    </w:tbl>
    <w:p w:rsidR="0051295B" w:rsidRPr="0051295B" w:rsidRDefault="0051295B" w:rsidP="0051295B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1295B">
        <w:rPr>
          <w:rFonts w:ascii="Arial" w:eastAsia="Times New Roman" w:hAnsi="Arial" w:cs="Arial"/>
          <w:b/>
          <w:sz w:val="16"/>
          <w:szCs w:val="16"/>
          <w:lang w:eastAsia="pl-PL"/>
        </w:rPr>
        <w:t>Необходимые документы:</w:t>
      </w:r>
    </w:p>
    <w:p w:rsidR="0051295B" w:rsidRPr="0051295B" w:rsidRDefault="0051295B" w:rsidP="0051295B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1295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Паспорт (выданный в течении последних 10 лет; срок действия которого на три месяца превышает срок запрашиваемой визы; </w:t>
      </w:r>
      <w:r w:rsidRPr="0051295B">
        <w:rPr>
          <w:rFonts w:ascii="Arial" w:eastAsia="Times New Roman" w:hAnsi="Arial" w:cs="Arial"/>
          <w:sz w:val="16"/>
          <w:szCs w:val="16"/>
          <w:lang w:eastAsia="pl-PL"/>
        </w:rPr>
        <w:t>в котором должны быть как минимум две свободные страницы, предусмотренные для виз);</w:t>
      </w:r>
    </w:p>
    <w:p w:rsidR="0051295B" w:rsidRPr="0051295B" w:rsidRDefault="0051295B" w:rsidP="0051295B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1295B">
        <w:rPr>
          <w:rFonts w:ascii="Arial" w:eastAsia="Times New Roman" w:hAnsi="Arial" w:cs="Arial"/>
          <w:sz w:val="16"/>
          <w:szCs w:val="16"/>
          <w:lang w:eastAsia="pl-PL"/>
        </w:rPr>
        <w:t>2 цветные фотографии 3,5 х 4,5 (80% лицо);</w:t>
      </w:r>
    </w:p>
    <w:p w:rsidR="0051295B" w:rsidRPr="0051295B" w:rsidRDefault="0051295B" w:rsidP="0051295B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1295B">
        <w:rPr>
          <w:rFonts w:ascii="Arial" w:eastAsia="Times New Roman" w:hAnsi="Arial" w:cs="Arial"/>
          <w:sz w:val="16"/>
          <w:szCs w:val="16"/>
          <w:lang w:eastAsia="pl-PL"/>
        </w:rPr>
        <w:t>справка с места работы с указанием заработной платы за 3 месяца, должности и стажа.</w:t>
      </w:r>
    </w:p>
    <w:p w:rsidR="007A1FD3" w:rsidRPr="0051295B" w:rsidRDefault="0051295B" w:rsidP="0051295B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1295B">
        <w:rPr>
          <w:rFonts w:ascii="Arial" w:eastAsia="Times New Roman" w:hAnsi="Arial" w:cs="Arial"/>
          <w:sz w:val="16"/>
          <w:szCs w:val="16"/>
          <w:lang w:eastAsia="pl-PL"/>
        </w:rPr>
        <w:t>для несовершеннолетних: с одним из родителей - копия свидетельства о рождении, копия паспорта. Если ребенок едет без родителей - нотариально оформленное разрешение на выезд.</w:t>
      </w:r>
    </w:p>
    <w:sectPr w:rsidR="007A1FD3" w:rsidRPr="0051295B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CF" w:rsidRDefault="00FB63CF" w:rsidP="00377528">
      <w:pPr>
        <w:spacing w:after="0" w:line="240" w:lineRule="auto"/>
      </w:pPr>
      <w:r>
        <w:separator/>
      </w:r>
    </w:p>
  </w:endnote>
  <w:endnote w:type="continuationSeparator" w:id="0">
    <w:p w:rsidR="00FB63CF" w:rsidRDefault="00FB63CF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BE2" w:rsidRPr="00EA425C" w:rsidRDefault="00F26BE2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F26BE2" w:rsidRPr="00F964EB" w:rsidRDefault="00F26BE2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F26BE2" w:rsidRPr="00F964EB" w:rsidRDefault="00F26BE2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 xml:space="preserve">,  пр. Партизанский 81 – 504, р/с </w:t>
    </w:r>
    <w:r w:rsidRPr="00F964EB">
      <w:rPr>
        <w:color w:val="215868" w:themeColor="accent5" w:themeShade="80"/>
        <w:sz w:val="16"/>
        <w:szCs w:val="16"/>
        <w:lang w:val="en-US"/>
      </w:rPr>
      <w:t>BY</w:t>
    </w:r>
    <w:r w:rsidR="00652336" w:rsidRPr="00652336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>4</w:t>
    </w:r>
    <w:r w:rsidR="00652336" w:rsidRPr="00652336">
      <w:rPr>
        <w:color w:val="215868" w:themeColor="accent5" w:themeShade="80"/>
        <w:sz w:val="16"/>
        <w:szCs w:val="16"/>
      </w:rPr>
      <w:t xml:space="preserve"> </w:t>
    </w:r>
    <w:r w:rsidR="00652336">
      <w:rPr>
        <w:color w:val="215868" w:themeColor="accent5" w:themeShade="80"/>
        <w:sz w:val="16"/>
        <w:szCs w:val="16"/>
        <w:lang w:val="en-US"/>
      </w:rPr>
      <w:t>ALFA</w:t>
    </w:r>
    <w:r w:rsidRPr="00F964EB">
      <w:rPr>
        <w:color w:val="215868" w:themeColor="accent5" w:themeShade="80"/>
        <w:sz w:val="16"/>
        <w:szCs w:val="16"/>
      </w:rPr>
      <w:t xml:space="preserve"> 3012</w:t>
    </w:r>
    <w:r w:rsidR="00652336" w:rsidRPr="00652336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F26BE2" w:rsidRPr="00F964EB" w:rsidRDefault="00F26BE2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652336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652336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652336">
      <w:rPr>
        <w:color w:val="215868" w:themeColor="accent5" w:themeShade="80"/>
        <w:sz w:val="16"/>
        <w:szCs w:val="16"/>
        <w:lang w:val="en-US"/>
      </w:rPr>
      <w:t>ALFA</w:t>
    </w:r>
    <w:r w:rsidRPr="00F964EB">
      <w:rPr>
        <w:color w:val="215868" w:themeColor="accent5" w:themeShade="80"/>
        <w:sz w:val="16"/>
        <w:szCs w:val="16"/>
        <w:lang w:val="en-US"/>
      </w:rPr>
      <w:t>BY</w:t>
    </w:r>
    <w:r w:rsidRPr="00F964EB">
      <w:rPr>
        <w:color w:val="215868" w:themeColor="accent5" w:themeShade="80"/>
        <w:sz w:val="16"/>
        <w:szCs w:val="16"/>
      </w:rPr>
      <w:t>2</w:t>
    </w:r>
    <w:r w:rsidRPr="00F964EB">
      <w:rPr>
        <w:color w:val="215868" w:themeColor="accent5" w:themeShade="80"/>
        <w:sz w:val="16"/>
        <w:szCs w:val="16"/>
        <w:lang w:val="en-US"/>
      </w:rPr>
      <w:t>X</w:t>
    </w:r>
    <w:r w:rsidRPr="00F964EB">
      <w:rPr>
        <w:color w:val="215868" w:themeColor="accent5" w:themeShade="80"/>
        <w:sz w:val="16"/>
        <w:szCs w:val="16"/>
      </w:rPr>
      <w:t xml:space="preserve">, г. Минск, ул. </w:t>
    </w:r>
    <w:r w:rsidR="00652336">
      <w:rPr>
        <w:color w:val="215868" w:themeColor="accent5" w:themeShade="80"/>
        <w:sz w:val="16"/>
        <w:szCs w:val="16"/>
      </w:rPr>
      <w:t>Сурганова, 43-47</w:t>
    </w:r>
    <w:r w:rsidRPr="00F964EB">
      <w:rPr>
        <w:color w:val="215868" w:themeColor="accent5" w:themeShade="80"/>
        <w:sz w:val="16"/>
        <w:szCs w:val="16"/>
      </w:rPr>
      <w:t>, УНП 192995170</w:t>
    </w:r>
  </w:p>
  <w:p w:rsidR="00F26BE2" w:rsidRPr="00F964EB" w:rsidRDefault="00F26BE2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>
      <w:rPr>
        <w:color w:val="215868" w:themeColor="accent5" w:themeShade="80"/>
        <w:sz w:val="16"/>
        <w:szCs w:val="16"/>
      </w:rPr>
      <w:t xml:space="preserve">/факс +375 17 362 20 02, </w:t>
    </w:r>
    <w:r w:rsidRPr="00F964EB">
      <w:rPr>
        <w:color w:val="215868" w:themeColor="accent5" w:themeShade="80"/>
        <w:sz w:val="16"/>
        <w:szCs w:val="16"/>
      </w:rPr>
      <w:t xml:space="preserve"> моб.: +375 33 667 62 94, +375 44 754 09 53</w:t>
    </w:r>
  </w:p>
  <w:p w:rsidR="00F26BE2" w:rsidRPr="00A05092" w:rsidRDefault="00F26BE2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 xml:space="preserve">: </w:t>
    </w:r>
    <w:hyperlink r:id="rId1" w:history="1">
      <w:r w:rsidRPr="00F964EB">
        <w:rPr>
          <w:rStyle w:val="a7"/>
          <w:sz w:val="16"/>
          <w:szCs w:val="16"/>
          <w:lang w:val="en-US"/>
        </w:rPr>
        <w:t>info</w:t>
      </w:r>
      <w:r w:rsidRPr="00A05092">
        <w:rPr>
          <w:rStyle w:val="a7"/>
          <w:sz w:val="16"/>
          <w:szCs w:val="16"/>
          <w:lang w:val="en-US"/>
        </w:rPr>
        <w:t>@</w:t>
      </w:r>
      <w:r w:rsidRPr="00F964EB">
        <w:rPr>
          <w:rStyle w:val="a7"/>
          <w:sz w:val="16"/>
          <w:szCs w:val="16"/>
          <w:lang w:val="en-US"/>
        </w:rPr>
        <w:t>abc</w:t>
      </w:r>
      <w:r w:rsidRPr="00A05092">
        <w:rPr>
          <w:rStyle w:val="a7"/>
          <w:sz w:val="16"/>
          <w:szCs w:val="16"/>
          <w:lang w:val="en-US"/>
        </w:rPr>
        <w:t>-</w:t>
      </w:r>
      <w:r w:rsidRPr="00F964EB">
        <w:rPr>
          <w:rStyle w:val="a7"/>
          <w:sz w:val="16"/>
          <w:szCs w:val="16"/>
          <w:lang w:val="en-US"/>
        </w:rPr>
        <w:t>project</w:t>
      </w:r>
      <w:r w:rsidRPr="00A05092">
        <w:rPr>
          <w:rStyle w:val="a7"/>
          <w:sz w:val="16"/>
          <w:szCs w:val="16"/>
          <w:lang w:val="en-US"/>
        </w:rPr>
        <w:t>.</w:t>
      </w:r>
      <w:r w:rsidRPr="00F964EB">
        <w:rPr>
          <w:rStyle w:val="a7"/>
          <w:sz w:val="16"/>
          <w:szCs w:val="16"/>
          <w:lang w:val="en-US"/>
        </w:rPr>
        <w:t>by</w:t>
      </w:r>
    </w:hyperlink>
    <w:r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F26BE2" w:rsidRPr="00A05092" w:rsidRDefault="00F26BE2">
    <w:pPr>
      <w:pStyle w:val="a5"/>
      <w:rPr>
        <w:lang w:val="en-US"/>
      </w:rPr>
    </w:pPr>
  </w:p>
  <w:p w:rsidR="00F26BE2" w:rsidRPr="00A05092" w:rsidRDefault="00F26BE2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CF" w:rsidRDefault="00FB63CF" w:rsidP="00377528">
      <w:pPr>
        <w:spacing w:after="0" w:line="240" w:lineRule="auto"/>
      </w:pPr>
      <w:r>
        <w:separator/>
      </w:r>
    </w:p>
  </w:footnote>
  <w:footnote w:type="continuationSeparator" w:id="0">
    <w:p w:rsidR="00FB63CF" w:rsidRDefault="00FB63CF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BE2" w:rsidRDefault="00F26BE2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A03A16E" wp14:editId="3854CDC8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:rsidR="00F26BE2" w:rsidRDefault="00F26BE2" w:rsidP="0042427C">
    <w:pPr>
      <w:pStyle w:val="a3"/>
      <w:jc w:val="right"/>
    </w:pPr>
  </w:p>
  <w:p w:rsidR="00F26BE2" w:rsidRPr="0042427C" w:rsidRDefault="00F26BE2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F26BE2" w:rsidRPr="0042427C" w:rsidRDefault="00F26BE2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F26BE2" w:rsidRDefault="00F26BE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73CD0" wp14:editId="1B94B229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989760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C3066"/>
    <w:multiLevelType w:val="multilevel"/>
    <w:tmpl w:val="E24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22399"/>
    <w:multiLevelType w:val="multilevel"/>
    <w:tmpl w:val="C64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370EA"/>
    <w:multiLevelType w:val="multilevel"/>
    <w:tmpl w:val="200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B3043"/>
    <w:multiLevelType w:val="hybridMultilevel"/>
    <w:tmpl w:val="E8DABA50"/>
    <w:lvl w:ilvl="0" w:tplc="2EF6F60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14D5"/>
    <w:rsid w:val="000213B0"/>
    <w:rsid w:val="000360AA"/>
    <w:rsid w:val="000505A4"/>
    <w:rsid w:val="00101879"/>
    <w:rsid w:val="001175FD"/>
    <w:rsid w:val="001524E2"/>
    <w:rsid w:val="001B4DF1"/>
    <w:rsid w:val="001C7791"/>
    <w:rsid w:val="001D22B5"/>
    <w:rsid w:val="00255223"/>
    <w:rsid w:val="0026203B"/>
    <w:rsid w:val="002938E9"/>
    <w:rsid w:val="002A1F73"/>
    <w:rsid w:val="002B4B08"/>
    <w:rsid w:val="002B7B0E"/>
    <w:rsid w:val="002F5009"/>
    <w:rsid w:val="00307B53"/>
    <w:rsid w:val="00324261"/>
    <w:rsid w:val="00377528"/>
    <w:rsid w:val="003C162A"/>
    <w:rsid w:val="00402AD0"/>
    <w:rsid w:val="004157A4"/>
    <w:rsid w:val="0042427C"/>
    <w:rsid w:val="00447A70"/>
    <w:rsid w:val="00461671"/>
    <w:rsid w:val="00470E91"/>
    <w:rsid w:val="004810AE"/>
    <w:rsid w:val="004A15BB"/>
    <w:rsid w:val="004A7B63"/>
    <w:rsid w:val="004B0E01"/>
    <w:rsid w:val="004D01AB"/>
    <w:rsid w:val="004F14AF"/>
    <w:rsid w:val="0051295B"/>
    <w:rsid w:val="005815BD"/>
    <w:rsid w:val="005A4D76"/>
    <w:rsid w:val="006316C5"/>
    <w:rsid w:val="00647055"/>
    <w:rsid w:val="00652336"/>
    <w:rsid w:val="0066062D"/>
    <w:rsid w:val="00667773"/>
    <w:rsid w:val="006B0EBF"/>
    <w:rsid w:val="006E392D"/>
    <w:rsid w:val="006E6926"/>
    <w:rsid w:val="007041DE"/>
    <w:rsid w:val="007421D4"/>
    <w:rsid w:val="007472C5"/>
    <w:rsid w:val="00765C8E"/>
    <w:rsid w:val="007746C0"/>
    <w:rsid w:val="0077555C"/>
    <w:rsid w:val="007A1FD3"/>
    <w:rsid w:val="007A6517"/>
    <w:rsid w:val="007F06FE"/>
    <w:rsid w:val="00801D69"/>
    <w:rsid w:val="008060C1"/>
    <w:rsid w:val="008170B6"/>
    <w:rsid w:val="008246B2"/>
    <w:rsid w:val="00825A19"/>
    <w:rsid w:val="008336F5"/>
    <w:rsid w:val="008360E0"/>
    <w:rsid w:val="00843271"/>
    <w:rsid w:val="008D6A94"/>
    <w:rsid w:val="008E3148"/>
    <w:rsid w:val="008F4C60"/>
    <w:rsid w:val="009007A1"/>
    <w:rsid w:val="00934111"/>
    <w:rsid w:val="0096136D"/>
    <w:rsid w:val="00A05092"/>
    <w:rsid w:val="00A34C49"/>
    <w:rsid w:val="00A564E0"/>
    <w:rsid w:val="00A67EB2"/>
    <w:rsid w:val="00A723CC"/>
    <w:rsid w:val="00AB0313"/>
    <w:rsid w:val="00AB5DEF"/>
    <w:rsid w:val="00AE077B"/>
    <w:rsid w:val="00AF39AC"/>
    <w:rsid w:val="00B04981"/>
    <w:rsid w:val="00B17CAD"/>
    <w:rsid w:val="00B44DB2"/>
    <w:rsid w:val="00BA6B37"/>
    <w:rsid w:val="00BE31C4"/>
    <w:rsid w:val="00BF2066"/>
    <w:rsid w:val="00BF37C3"/>
    <w:rsid w:val="00BF42E6"/>
    <w:rsid w:val="00C00A51"/>
    <w:rsid w:val="00C17CAA"/>
    <w:rsid w:val="00C42D8A"/>
    <w:rsid w:val="00C54859"/>
    <w:rsid w:val="00CD4049"/>
    <w:rsid w:val="00CD4324"/>
    <w:rsid w:val="00CD702E"/>
    <w:rsid w:val="00D050A9"/>
    <w:rsid w:val="00D21482"/>
    <w:rsid w:val="00D43201"/>
    <w:rsid w:val="00D505D5"/>
    <w:rsid w:val="00D57388"/>
    <w:rsid w:val="00D60CAC"/>
    <w:rsid w:val="00D854A7"/>
    <w:rsid w:val="00DE2713"/>
    <w:rsid w:val="00E56122"/>
    <w:rsid w:val="00EA425C"/>
    <w:rsid w:val="00F027B0"/>
    <w:rsid w:val="00F2157B"/>
    <w:rsid w:val="00F26BE2"/>
    <w:rsid w:val="00F346CE"/>
    <w:rsid w:val="00F47E8A"/>
    <w:rsid w:val="00F654B2"/>
    <w:rsid w:val="00F964EB"/>
    <w:rsid w:val="00FA4CB4"/>
    <w:rsid w:val="00F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F86DF-44A8-4188-B122-E46FC340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5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505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E561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AE3A-D572-4A8D-9212-5CC0EB66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2019-01-23T07:37:00Z</cp:lastPrinted>
  <dcterms:created xsi:type="dcterms:W3CDTF">2015-10-13T15:45:00Z</dcterms:created>
  <dcterms:modified xsi:type="dcterms:W3CDTF">2019-01-23T07:38:00Z</dcterms:modified>
</cp:coreProperties>
</file>